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C6" w:rsidRDefault="002A09EC" w:rsidP="00870EEF">
      <w:pPr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2966940" cy="505158"/>
            <wp:effectExtent l="19050" t="0" r="486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56" cy="50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1DA" w:rsidRDefault="000271DA" w:rsidP="00C612D2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FF0BA7" w:rsidRPr="00A002AC" w:rsidRDefault="00FF0BA7" w:rsidP="00FF0BA7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A002AC">
        <w:rPr>
          <w:rFonts w:cs="David" w:hint="cs"/>
          <w:b/>
          <w:bCs/>
          <w:sz w:val="36"/>
          <w:szCs w:val="36"/>
          <w:u w:val="single"/>
          <w:rtl/>
        </w:rPr>
        <w:t>המלצות תזונתיות לספורטאי הצעיר</w:t>
      </w:r>
    </w:p>
    <w:p w:rsidR="00FF0BA7" w:rsidRPr="00A002AC" w:rsidRDefault="00FF0BA7" w:rsidP="00FF0BA7">
      <w:pPr>
        <w:jc w:val="center"/>
        <w:rPr>
          <w:rFonts w:cs="David"/>
          <w:b/>
          <w:bCs/>
          <w:sz w:val="24"/>
          <w:szCs w:val="24"/>
          <w:u w:val="single"/>
        </w:rPr>
      </w:pPr>
    </w:p>
    <w:p w:rsidR="00FF0BA7" w:rsidRPr="00730D0B" w:rsidRDefault="00FF0BA7" w:rsidP="00FF0BA7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730D0B">
        <w:rPr>
          <w:rFonts w:ascii="David" w:hAnsi="David" w:cs="David"/>
          <w:sz w:val="24"/>
          <w:szCs w:val="24"/>
          <w:rtl/>
        </w:rPr>
        <w:t xml:space="preserve">השפעת התזונה על צעירים ומתבגרים היא גדולה מאוד. </w:t>
      </w:r>
      <w:r>
        <w:rPr>
          <w:rFonts w:ascii="David" w:hAnsi="David" w:cs="David" w:hint="cs"/>
          <w:sz w:val="24"/>
          <w:szCs w:val="24"/>
          <w:rtl/>
        </w:rPr>
        <w:t>תקופת</w:t>
      </w:r>
      <w:r w:rsidRPr="00730D0B">
        <w:rPr>
          <w:rFonts w:ascii="David" w:hAnsi="David" w:cs="David"/>
          <w:sz w:val="24"/>
          <w:szCs w:val="24"/>
          <w:rtl/>
        </w:rPr>
        <w:t xml:space="preserve"> הילדות היא תקופה של צמיחה, גדילה והתפתחות, ולכן יש בה חשיבות גדולה ביותר לתזונה. כאשר מדובר בילדים שעוסקים בספורט באופן אינטנסיבי - החשיבות גדולה </w:t>
      </w:r>
      <w:r>
        <w:rPr>
          <w:rFonts w:ascii="David" w:hAnsi="David" w:cs="David" w:hint="cs"/>
          <w:sz w:val="24"/>
          <w:szCs w:val="24"/>
          <w:rtl/>
        </w:rPr>
        <w:t>אף</w:t>
      </w:r>
      <w:r w:rsidRPr="00730D0B">
        <w:rPr>
          <w:rFonts w:ascii="David" w:hAnsi="David" w:cs="David"/>
          <w:sz w:val="24"/>
          <w:szCs w:val="24"/>
          <w:rtl/>
        </w:rPr>
        <w:t xml:space="preserve"> יותר .</w:t>
      </w:r>
    </w:p>
    <w:p w:rsidR="00FF0BA7" w:rsidRPr="00A002AC" w:rsidRDefault="00FF0BA7" w:rsidP="00FF0BA7">
      <w:pPr>
        <w:spacing w:line="360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צרכים תזונתיים</w:t>
      </w:r>
    </w:p>
    <w:p w:rsidR="00FF0BA7" w:rsidRPr="0033020B" w:rsidRDefault="00FF0BA7" w:rsidP="00FF0BA7">
      <w:pPr>
        <w:pStyle w:val="a5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A002AC">
        <w:rPr>
          <w:rFonts w:cs="David" w:hint="cs"/>
          <w:sz w:val="28"/>
          <w:szCs w:val="28"/>
          <w:rtl/>
        </w:rPr>
        <w:t>אנרגיה:</w:t>
      </w:r>
      <w:r w:rsidRPr="00A002AC">
        <w:rPr>
          <w:rFonts w:cs="David"/>
          <w:sz w:val="24"/>
          <w:szCs w:val="24"/>
          <w:rtl/>
        </w:rPr>
        <w:br/>
      </w:r>
      <w:r w:rsidRPr="00A002AC">
        <w:rPr>
          <w:rFonts w:cs="David" w:hint="cs"/>
          <w:sz w:val="24"/>
          <w:szCs w:val="24"/>
          <w:rtl/>
        </w:rPr>
        <w:t xml:space="preserve">צריכת קלוריות נאותה חיונית לגדילה ולהתפתחות תקינים, ולביצוע פעילות גופנית. מאזן אנרגיה שלילי </w:t>
      </w:r>
      <w:r>
        <w:rPr>
          <w:rFonts w:cs="David" w:hint="cs"/>
          <w:sz w:val="24"/>
          <w:szCs w:val="24"/>
          <w:rtl/>
        </w:rPr>
        <w:t xml:space="preserve">מתמשך </w:t>
      </w:r>
      <w:r w:rsidRPr="00A002AC">
        <w:rPr>
          <w:rFonts w:cs="David" w:hint="cs"/>
          <w:sz w:val="24"/>
          <w:szCs w:val="24"/>
          <w:rtl/>
        </w:rPr>
        <w:t>עלול לגרום לעיק</w:t>
      </w:r>
      <w:r>
        <w:rPr>
          <w:rFonts w:cs="David" w:hint="cs"/>
          <w:sz w:val="24"/>
          <w:szCs w:val="24"/>
          <w:rtl/>
        </w:rPr>
        <w:t xml:space="preserve">וב בהתפתחות </w:t>
      </w:r>
      <w:r w:rsidRPr="00A002AC">
        <w:rPr>
          <w:rFonts w:cs="David" w:hint="cs"/>
          <w:sz w:val="24"/>
          <w:szCs w:val="24"/>
          <w:rtl/>
        </w:rPr>
        <w:t xml:space="preserve">ועלייה בסיכון לפציעות. </w:t>
      </w:r>
      <w:r>
        <w:rPr>
          <w:rFonts w:cs="David" w:hint="cs"/>
          <w:sz w:val="24"/>
          <w:szCs w:val="24"/>
          <w:rtl/>
        </w:rPr>
        <w:t xml:space="preserve">כדי למונע זאת, </w:t>
      </w:r>
      <w:r w:rsidRPr="0033020B">
        <w:rPr>
          <w:rFonts w:cs="David" w:hint="cs"/>
          <w:sz w:val="24"/>
          <w:szCs w:val="24"/>
          <w:rtl/>
        </w:rPr>
        <w:t xml:space="preserve">על הספורטאי לצרוך אנרגיה בכמות </w:t>
      </w:r>
      <w:r>
        <w:rPr>
          <w:rFonts w:cs="David" w:hint="cs"/>
          <w:sz w:val="24"/>
          <w:szCs w:val="24"/>
          <w:rtl/>
        </w:rPr>
        <w:t xml:space="preserve">המתאימה לצרכיו ויעדיו </w:t>
      </w:r>
      <w:r w:rsidR="00230D93">
        <w:rPr>
          <w:rFonts w:cs="David" w:hint="cs"/>
          <w:sz w:val="24"/>
          <w:szCs w:val="24"/>
          <w:rtl/>
        </w:rPr>
        <w:t>הספורטיביים</w:t>
      </w:r>
      <w:r>
        <w:rPr>
          <w:rFonts w:cs="David" w:hint="cs"/>
          <w:sz w:val="24"/>
          <w:szCs w:val="24"/>
          <w:rtl/>
        </w:rPr>
        <w:t xml:space="preserve">. </w:t>
      </w:r>
      <w:r w:rsidRPr="0033020B">
        <w:rPr>
          <w:rFonts w:cs="David" w:hint="cs"/>
          <w:sz w:val="24"/>
          <w:szCs w:val="24"/>
          <w:rtl/>
        </w:rPr>
        <w:t xml:space="preserve"> מאזן אנרגיה חיובי יתבטא בגדילה ובהתפתחות תקינים. </w:t>
      </w:r>
      <w:r w:rsidRPr="0033020B">
        <w:rPr>
          <w:rFonts w:cs="David" w:hint="cs"/>
          <w:b/>
          <w:bCs/>
          <w:sz w:val="24"/>
          <w:szCs w:val="24"/>
          <w:rtl/>
        </w:rPr>
        <w:t xml:space="preserve">כמות האנרגיה לשחקן ממוצע אשר מתאמן בין 6 </w:t>
      </w:r>
      <w:r w:rsidRPr="0033020B">
        <w:rPr>
          <w:rFonts w:cs="David"/>
          <w:b/>
          <w:bCs/>
          <w:sz w:val="24"/>
          <w:szCs w:val="24"/>
          <w:rtl/>
        </w:rPr>
        <w:t>–</w:t>
      </w:r>
      <w:r w:rsidRPr="0033020B">
        <w:rPr>
          <w:rFonts w:cs="David" w:hint="cs"/>
          <w:b/>
          <w:bCs/>
          <w:sz w:val="24"/>
          <w:szCs w:val="24"/>
          <w:rtl/>
        </w:rPr>
        <w:t xml:space="preserve"> 10 שעות שבועיות צריכה להיות &gt;45 קק"ל לכל ק"ג משקל גופו הרזה.</w:t>
      </w:r>
      <w:r w:rsidRPr="0033020B">
        <w:rPr>
          <w:rFonts w:cs="David" w:hint="cs"/>
          <w:sz w:val="24"/>
          <w:szCs w:val="24"/>
          <w:rtl/>
        </w:rPr>
        <w:t xml:space="preserve"> </w:t>
      </w:r>
    </w:p>
    <w:tbl>
      <w:tblPr>
        <w:tblpPr w:leftFromText="180" w:rightFromText="180" w:vertAnchor="text" w:horzAnchor="margin" w:tblpY="1716"/>
        <w:bidiVisual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1518"/>
        <w:gridCol w:w="1699"/>
        <w:gridCol w:w="2076"/>
        <w:gridCol w:w="1682"/>
        <w:gridCol w:w="1455"/>
      </w:tblGrid>
      <w:tr w:rsidR="00FF0BA7" w:rsidRPr="00E07E07" w:rsidTr="00F02FBA">
        <w:tc>
          <w:tcPr>
            <w:tcW w:w="637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מין</w:t>
            </w:r>
          </w:p>
        </w:tc>
        <w:tc>
          <w:tcPr>
            <w:tcW w:w="1518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השמנה</w:t>
            </w:r>
          </w:p>
        </w:tc>
        <w:tc>
          <w:tcPr>
            <w:tcW w:w="1699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אחוז שומן גבוה</w:t>
            </w:r>
          </w:p>
        </w:tc>
        <w:tc>
          <w:tcPr>
            <w:tcW w:w="2076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אחוז שומן אופטימלי</w:t>
            </w:r>
          </w:p>
        </w:tc>
        <w:tc>
          <w:tcPr>
            <w:tcW w:w="1682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אחוז שומן נמוך</w:t>
            </w:r>
          </w:p>
        </w:tc>
        <w:tc>
          <w:tcPr>
            <w:tcW w:w="1455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תת שומן</w:t>
            </w:r>
          </w:p>
        </w:tc>
      </w:tr>
      <w:tr w:rsidR="00FF0BA7" w:rsidRPr="00E07E07" w:rsidTr="00F02FBA">
        <w:tc>
          <w:tcPr>
            <w:tcW w:w="637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בנים</w:t>
            </w:r>
          </w:p>
        </w:tc>
        <w:tc>
          <w:tcPr>
            <w:tcW w:w="1518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&gt;31</w:t>
            </w:r>
          </w:p>
        </w:tc>
        <w:tc>
          <w:tcPr>
            <w:tcW w:w="1699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26 </w:t>
            </w:r>
            <w:r w:rsidRPr="00E07E07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31</w:t>
            </w:r>
          </w:p>
        </w:tc>
        <w:tc>
          <w:tcPr>
            <w:tcW w:w="2076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11 </w:t>
            </w:r>
            <w:r w:rsidRPr="00E07E07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25</w:t>
            </w:r>
          </w:p>
        </w:tc>
        <w:tc>
          <w:tcPr>
            <w:tcW w:w="1682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5 </w:t>
            </w:r>
            <w:r w:rsidRPr="00E07E07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1455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&lt;5</w:t>
            </w:r>
          </w:p>
        </w:tc>
      </w:tr>
      <w:tr w:rsidR="00FF0BA7" w:rsidRPr="00E07E07" w:rsidTr="00F02FBA">
        <w:tc>
          <w:tcPr>
            <w:tcW w:w="637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בנות</w:t>
            </w:r>
          </w:p>
        </w:tc>
        <w:tc>
          <w:tcPr>
            <w:tcW w:w="1518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&gt;36</w:t>
            </w:r>
          </w:p>
        </w:tc>
        <w:tc>
          <w:tcPr>
            <w:tcW w:w="1699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31 - 36</w:t>
            </w:r>
          </w:p>
        </w:tc>
        <w:tc>
          <w:tcPr>
            <w:tcW w:w="2076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16 - 30</w:t>
            </w:r>
          </w:p>
        </w:tc>
        <w:tc>
          <w:tcPr>
            <w:tcW w:w="1682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12 - 15</w:t>
            </w:r>
          </w:p>
        </w:tc>
        <w:tc>
          <w:tcPr>
            <w:tcW w:w="1455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&lt;12</w:t>
            </w:r>
          </w:p>
        </w:tc>
      </w:tr>
    </w:tbl>
    <w:p w:rsidR="00FF0BA7" w:rsidRPr="00082DEE" w:rsidRDefault="00FF0BA7" w:rsidP="00FF0BA7">
      <w:pPr>
        <w:pStyle w:val="a5"/>
        <w:numPr>
          <w:ilvl w:val="0"/>
          <w:numId w:val="2"/>
        </w:numPr>
        <w:spacing w:line="360" w:lineRule="auto"/>
        <w:ind w:left="360" w:right="-360"/>
        <w:rPr>
          <w:rFonts w:cs="David"/>
          <w:sz w:val="24"/>
          <w:szCs w:val="24"/>
        </w:rPr>
      </w:pPr>
      <w:r w:rsidRPr="00082DEE">
        <w:rPr>
          <w:rFonts w:cs="David" w:hint="cs"/>
          <w:sz w:val="28"/>
          <w:szCs w:val="28"/>
          <w:rtl/>
        </w:rPr>
        <w:t>הרכב הגוף:</w:t>
      </w:r>
      <w:r w:rsidRPr="00082DEE">
        <w:rPr>
          <w:rFonts w:cs="David"/>
          <w:sz w:val="24"/>
          <w:szCs w:val="24"/>
          <w:rtl/>
        </w:rPr>
        <w:br/>
      </w:r>
      <w:r w:rsidRPr="00082DEE">
        <w:rPr>
          <w:rFonts w:cs="David" w:hint="cs"/>
          <w:sz w:val="24"/>
          <w:szCs w:val="24"/>
          <w:rtl/>
        </w:rPr>
        <w:t>הערכה של השמנת יתר, או תת משקל בקרב ספורטאים תתבסס על מדידת משקל, גובה, מדד מסת הגוף ואחוזי שומן. בטבלה הנ"ל מצויינים ערכי אחוזי השומן המומלצים לילדים.</w:t>
      </w:r>
      <w:r w:rsidRPr="00082DEE">
        <w:rPr>
          <w:rFonts w:cs="David"/>
          <w:sz w:val="24"/>
          <w:szCs w:val="24"/>
          <w:rtl/>
        </w:rPr>
        <w:br/>
      </w:r>
    </w:p>
    <w:p w:rsidR="00FF0BA7" w:rsidRDefault="00FF0BA7" w:rsidP="00FF0BA7">
      <w:pPr>
        <w:spacing w:line="360" w:lineRule="auto"/>
        <w:ind w:right="-360"/>
        <w:rPr>
          <w:rFonts w:cs="David"/>
          <w:sz w:val="24"/>
          <w:szCs w:val="24"/>
          <w:rtl/>
        </w:rPr>
      </w:pPr>
    </w:p>
    <w:p w:rsidR="00FF0BA7" w:rsidRDefault="00FF0BA7" w:rsidP="00FF0BA7">
      <w:pPr>
        <w:spacing w:line="360" w:lineRule="auto"/>
        <w:ind w:right="-360"/>
        <w:rPr>
          <w:rFonts w:cs="David"/>
          <w:sz w:val="24"/>
          <w:szCs w:val="24"/>
          <w:rtl/>
        </w:rPr>
      </w:pPr>
    </w:p>
    <w:p w:rsidR="00FF0BA7" w:rsidRDefault="00FF0BA7" w:rsidP="00FF0BA7">
      <w:pPr>
        <w:spacing w:line="360" w:lineRule="auto"/>
        <w:ind w:right="-360"/>
        <w:rPr>
          <w:rFonts w:cs="David"/>
          <w:sz w:val="24"/>
          <w:szCs w:val="24"/>
          <w:rtl/>
        </w:rPr>
      </w:pPr>
      <w:r w:rsidRPr="00FF0BA7">
        <w:rPr>
          <w:rFonts w:cs="David" w:hint="cs"/>
          <w:noProof/>
          <w:sz w:val="24"/>
          <w:szCs w:val="24"/>
          <w:rtl/>
        </w:rPr>
        <w:drawing>
          <wp:inline distT="0" distB="0" distL="0" distR="0">
            <wp:extent cx="5274310" cy="395273"/>
            <wp:effectExtent l="19050" t="0" r="254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A7" w:rsidRDefault="00FF0BA7" w:rsidP="00FF0BA7">
      <w:pPr>
        <w:spacing w:line="360" w:lineRule="auto"/>
        <w:ind w:right="-360"/>
        <w:rPr>
          <w:rFonts w:cs="David"/>
          <w:sz w:val="24"/>
          <w:szCs w:val="24"/>
          <w:rtl/>
        </w:rPr>
      </w:pPr>
    </w:p>
    <w:p w:rsidR="00FF0BA7" w:rsidRDefault="00FF0BA7" w:rsidP="00FF0BA7">
      <w:pPr>
        <w:spacing w:line="360" w:lineRule="auto"/>
        <w:ind w:right="-360"/>
        <w:rPr>
          <w:rFonts w:cs="David"/>
          <w:sz w:val="24"/>
          <w:szCs w:val="24"/>
          <w:rtl/>
        </w:rPr>
      </w:pPr>
    </w:p>
    <w:p w:rsidR="00FF0BA7" w:rsidRDefault="00FF0BA7" w:rsidP="00FF0BA7">
      <w:pPr>
        <w:spacing w:line="360" w:lineRule="auto"/>
        <w:ind w:right="-360"/>
        <w:rPr>
          <w:rFonts w:cs="David"/>
          <w:sz w:val="24"/>
          <w:szCs w:val="24"/>
          <w:rtl/>
        </w:rPr>
      </w:pPr>
      <w:r w:rsidRPr="00FF0BA7">
        <w:rPr>
          <w:rFonts w:cs="David" w:hint="cs"/>
          <w:noProof/>
          <w:sz w:val="24"/>
          <w:szCs w:val="24"/>
          <w:rtl/>
        </w:rPr>
        <w:lastRenderedPageBreak/>
        <w:drawing>
          <wp:inline distT="0" distB="0" distL="0" distR="0">
            <wp:extent cx="2966940" cy="505158"/>
            <wp:effectExtent l="19050" t="0" r="4860" b="0"/>
            <wp:docPr id="9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56" cy="50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1C2" w:rsidRPr="00FF0BA7" w:rsidRDefault="00A131C2" w:rsidP="00FF0BA7">
      <w:pPr>
        <w:spacing w:line="360" w:lineRule="auto"/>
        <w:ind w:right="-360"/>
        <w:rPr>
          <w:rFonts w:cs="David"/>
          <w:sz w:val="24"/>
          <w:szCs w:val="24"/>
        </w:rPr>
      </w:pPr>
    </w:p>
    <w:p w:rsidR="00FF0BA7" w:rsidRPr="00FF0BA7" w:rsidRDefault="00FF0BA7" w:rsidP="00FF0BA7">
      <w:pPr>
        <w:pStyle w:val="a5"/>
        <w:numPr>
          <w:ilvl w:val="0"/>
          <w:numId w:val="2"/>
        </w:numPr>
        <w:spacing w:line="360" w:lineRule="auto"/>
        <w:ind w:left="360" w:right="-360"/>
        <w:rPr>
          <w:rFonts w:cs="David"/>
          <w:sz w:val="24"/>
          <w:szCs w:val="24"/>
          <w:rtl/>
        </w:rPr>
      </w:pPr>
      <w:r w:rsidRPr="00082DEE">
        <w:rPr>
          <w:rFonts w:cs="David" w:hint="cs"/>
          <w:sz w:val="28"/>
          <w:szCs w:val="28"/>
          <w:rtl/>
        </w:rPr>
        <w:t>פחמימות:</w:t>
      </w:r>
      <w:r w:rsidRPr="00082DEE">
        <w:rPr>
          <w:rFonts w:cs="David" w:hint="cs"/>
          <w:sz w:val="24"/>
          <w:szCs w:val="24"/>
          <w:rtl/>
        </w:rPr>
        <w:br/>
        <w:t xml:space="preserve">פחמימות נמצאות במאכלים כמו דגנים, לחם, אורז, תפוח אדמה, פסטה ופירות. </w:t>
      </w:r>
      <w:r w:rsidRPr="00082DEE">
        <w:rPr>
          <w:rFonts w:cs="David" w:hint="cs"/>
          <w:b/>
          <w:bCs/>
          <w:sz w:val="24"/>
          <w:szCs w:val="24"/>
          <w:rtl/>
        </w:rPr>
        <w:t xml:space="preserve">כמות הפחמימות המומלצת 6 גרם / ק"ג ליום. בתקופות עצימות 8 </w:t>
      </w:r>
      <w:r w:rsidRPr="00082DEE">
        <w:rPr>
          <w:rFonts w:cs="David"/>
          <w:b/>
          <w:bCs/>
          <w:sz w:val="24"/>
          <w:szCs w:val="24"/>
          <w:rtl/>
        </w:rPr>
        <w:t>–</w:t>
      </w:r>
      <w:r w:rsidRPr="00082DEE">
        <w:rPr>
          <w:rFonts w:cs="David" w:hint="cs"/>
          <w:b/>
          <w:bCs/>
          <w:sz w:val="24"/>
          <w:szCs w:val="24"/>
          <w:rtl/>
        </w:rPr>
        <w:t xml:space="preserve"> 10 גרם / ק"ג ליום.</w:t>
      </w:r>
    </w:p>
    <w:p w:rsidR="00FF0BA7" w:rsidRDefault="00FF0BA7" w:rsidP="00FF0BA7">
      <w:pPr>
        <w:pStyle w:val="a5"/>
        <w:spacing w:line="360" w:lineRule="auto"/>
        <w:ind w:left="0" w:right="-360"/>
        <w:rPr>
          <w:rFonts w:cs="David"/>
          <w:b/>
          <w:bCs/>
          <w:sz w:val="24"/>
          <w:szCs w:val="24"/>
          <w:rtl/>
        </w:rPr>
      </w:pPr>
    </w:p>
    <w:p w:rsidR="00FF0BA7" w:rsidRPr="00A002AC" w:rsidRDefault="00FF0BA7" w:rsidP="00FF0BA7">
      <w:pPr>
        <w:pStyle w:val="a5"/>
        <w:numPr>
          <w:ilvl w:val="0"/>
          <w:numId w:val="2"/>
        </w:numPr>
        <w:spacing w:line="360" w:lineRule="auto"/>
        <w:rPr>
          <w:rFonts w:cs="David"/>
          <w:sz w:val="28"/>
          <w:szCs w:val="28"/>
          <w:rtl/>
        </w:rPr>
      </w:pPr>
      <w:r w:rsidRPr="00A002AC">
        <w:rPr>
          <w:rFonts w:cs="David" w:hint="cs"/>
          <w:sz w:val="28"/>
          <w:szCs w:val="28"/>
          <w:rtl/>
        </w:rPr>
        <w:t>חלבונים:</w:t>
      </w:r>
    </w:p>
    <w:p w:rsidR="00FF0BA7" w:rsidRDefault="00FF0BA7" w:rsidP="00FF0BA7">
      <w:pPr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  <w:r w:rsidRPr="00A002AC">
        <w:rPr>
          <w:rFonts w:cs="David" w:hint="cs"/>
          <w:sz w:val="24"/>
          <w:szCs w:val="24"/>
          <w:rtl/>
        </w:rPr>
        <w:t>חלבונים נמצאים במאכלי</w:t>
      </w:r>
      <w:r>
        <w:rPr>
          <w:rFonts w:cs="David" w:hint="cs"/>
          <w:sz w:val="24"/>
          <w:szCs w:val="24"/>
          <w:rtl/>
        </w:rPr>
        <w:t xml:space="preserve"> חלב</w:t>
      </w:r>
      <w:r w:rsidRPr="00A002AC">
        <w:rPr>
          <w:rFonts w:cs="David" w:hint="cs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בשר</w:t>
      </w:r>
      <w:r w:rsidRPr="00A002AC">
        <w:rPr>
          <w:rFonts w:cs="David" w:hint="cs"/>
          <w:sz w:val="24"/>
          <w:szCs w:val="24"/>
          <w:rtl/>
        </w:rPr>
        <w:t>, ביצים וקטניות</w:t>
      </w:r>
      <w:r>
        <w:rPr>
          <w:rFonts w:cs="David" w:hint="cs"/>
          <w:sz w:val="24"/>
          <w:szCs w:val="24"/>
          <w:rtl/>
        </w:rPr>
        <w:t>.</w:t>
      </w:r>
      <w:r w:rsidRPr="000355CD">
        <w:rPr>
          <w:rFonts w:cs="David" w:hint="cs"/>
          <w:sz w:val="24"/>
          <w:szCs w:val="24"/>
          <w:rtl/>
        </w:rPr>
        <w:t xml:space="preserve"> לילדים ולמתבגרים צורך גבוה יותר בחלבו</w:t>
      </w:r>
      <w:r>
        <w:rPr>
          <w:rFonts w:cs="David" w:hint="cs"/>
          <w:sz w:val="24"/>
          <w:szCs w:val="24"/>
          <w:rtl/>
        </w:rPr>
        <w:t>ן, על מנת</w:t>
      </w:r>
      <w:r w:rsidRPr="000355CD">
        <w:rPr>
          <w:rFonts w:cs="David" w:hint="cs"/>
          <w:sz w:val="24"/>
          <w:szCs w:val="24"/>
          <w:rtl/>
        </w:rPr>
        <w:t xml:space="preserve"> לתמוך בתהליכי הגדילה. </w:t>
      </w:r>
      <w:r w:rsidRPr="00817199">
        <w:rPr>
          <w:rFonts w:cs="David" w:hint="cs"/>
          <w:b/>
          <w:bCs/>
          <w:sz w:val="24"/>
          <w:szCs w:val="24"/>
          <w:rtl/>
        </w:rPr>
        <w:t xml:space="preserve">כמות החלבון המומלצת נעה בין 1.2 </w:t>
      </w:r>
      <w:r w:rsidRPr="00817199">
        <w:rPr>
          <w:rFonts w:cs="David"/>
          <w:b/>
          <w:bCs/>
          <w:sz w:val="24"/>
          <w:szCs w:val="24"/>
          <w:rtl/>
        </w:rPr>
        <w:t>–</w:t>
      </w:r>
      <w:r w:rsidRPr="00817199">
        <w:rPr>
          <w:rFonts w:cs="David" w:hint="cs"/>
          <w:b/>
          <w:bCs/>
          <w:sz w:val="24"/>
          <w:szCs w:val="24"/>
          <w:rtl/>
        </w:rPr>
        <w:t xml:space="preserve"> 1.7 גר'/ק"ג כמו למבוגרים.</w:t>
      </w:r>
    </w:p>
    <w:p w:rsidR="00A131C2" w:rsidRDefault="00A131C2" w:rsidP="00FF0BA7">
      <w:pPr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</w:p>
    <w:p w:rsidR="00FF0BA7" w:rsidRPr="00FF0BA7" w:rsidRDefault="00FF0BA7" w:rsidP="00FF0BA7">
      <w:pPr>
        <w:spacing w:line="360" w:lineRule="auto"/>
        <w:ind w:left="42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5.</w:t>
      </w:r>
      <w:r w:rsidRPr="00FF0BA7">
        <w:rPr>
          <w:rFonts w:cs="David" w:hint="cs"/>
          <w:sz w:val="28"/>
          <w:szCs w:val="28"/>
          <w:rtl/>
        </w:rPr>
        <w:t>שומנים:</w:t>
      </w:r>
    </w:p>
    <w:p w:rsidR="00FF0BA7" w:rsidRPr="00A002AC" w:rsidRDefault="00FF0BA7" w:rsidP="00FF0BA7">
      <w:pPr>
        <w:spacing w:line="360" w:lineRule="auto"/>
        <w:ind w:left="360" w:right="-540"/>
        <w:rPr>
          <w:rFonts w:cs="David"/>
          <w:sz w:val="24"/>
          <w:szCs w:val="24"/>
          <w:rtl/>
        </w:rPr>
      </w:pPr>
      <w:r w:rsidRPr="00A002AC">
        <w:rPr>
          <w:rFonts w:cs="David" w:hint="cs"/>
          <w:sz w:val="24"/>
          <w:szCs w:val="24"/>
          <w:rtl/>
        </w:rPr>
        <w:t xml:space="preserve">השומנים חיוניים למבנה התקין של הקרומים של תאי הגוף, למבנה התקין של המוח, לתפקוד מאוזן של מערכת החיסון ומהווים מקור אנרגיה בפעילות יום-יומית. השומנים במזון מתחלקים לסוגים שונים לפי הרכבם הכימי: </w:t>
      </w:r>
      <w:r w:rsidRPr="00A002AC">
        <w:rPr>
          <w:rFonts w:cs="David"/>
          <w:sz w:val="24"/>
          <w:szCs w:val="24"/>
          <w:rtl/>
        </w:rPr>
        <w:br/>
      </w:r>
      <w:r w:rsidRPr="00A002AC">
        <w:rPr>
          <w:rFonts w:cs="David" w:hint="cs"/>
          <w:sz w:val="24"/>
          <w:szCs w:val="24"/>
          <w:rtl/>
        </w:rPr>
        <w:t xml:space="preserve">* </w:t>
      </w:r>
      <w:r w:rsidRPr="00D857CD">
        <w:rPr>
          <w:rFonts w:cs="David" w:hint="cs"/>
          <w:sz w:val="24"/>
          <w:szCs w:val="24"/>
          <w:u w:val="single"/>
          <w:rtl/>
        </w:rPr>
        <w:t>שומן רווי</w:t>
      </w:r>
      <w:r w:rsidRPr="00A002AC">
        <w:rPr>
          <w:rFonts w:cs="David" w:hint="cs"/>
          <w:sz w:val="24"/>
          <w:szCs w:val="24"/>
          <w:rtl/>
        </w:rPr>
        <w:t xml:space="preserve"> </w:t>
      </w:r>
      <w:r w:rsidRPr="00A002AC">
        <w:rPr>
          <w:rFonts w:cs="David"/>
          <w:sz w:val="24"/>
          <w:szCs w:val="24"/>
          <w:rtl/>
        </w:rPr>
        <w:t>–</w:t>
      </w:r>
      <w:r w:rsidRPr="00A002AC">
        <w:rPr>
          <w:rFonts w:cs="David" w:hint="cs"/>
          <w:sz w:val="24"/>
          <w:szCs w:val="24"/>
          <w:rtl/>
        </w:rPr>
        <w:t xml:space="preserve"> שומן שמקורו בעיקר מן החי (בשר שמן, גבינות שמנות</w:t>
      </w:r>
      <w:r>
        <w:rPr>
          <w:rFonts w:cs="David" w:hint="cs"/>
          <w:sz w:val="24"/>
          <w:szCs w:val="24"/>
          <w:rtl/>
        </w:rPr>
        <w:t>, שמן קוקוס, דברי מאפה, ופלים</w:t>
      </w:r>
      <w:r w:rsidRPr="00A002AC">
        <w:rPr>
          <w:rFonts w:cs="David" w:hint="cs"/>
          <w:sz w:val="24"/>
          <w:szCs w:val="24"/>
          <w:rtl/>
        </w:rPr>
        <w:t xml:space="preserve"> וכו')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בעל </w:t>
      </w:r>
      <w:r w:rsidRPr="00A002AC">
        <w:rPr>
          <w:rFonts w:cs="David" w:hint="cs"/>
          <w:sz w:val="24"/>
          <w:szCs w:val="24"/>
          <w:rtl/>
        </w:rPr>
        <w:t>השפעה שלילית על הבריאות.</w:t>
      </w:r>
      <w:r w:rsidRPr="00A002AC">
        <w:rPr>
          <w:rFonts w:cs="David"/>
          <w:sz w:val="24"/>
          <w:szCs w:val="24"/>
          <w:rtl/>
        </w:rPr>
        <w:br/>
      </w:r>
      <w:r w:rsidRPr="00A002AC">
        <w:rPr>
          <w:rFonts w:cs="David" w:hint="cs"/>
          <w:sz w:val="24"/>
          <w:szCs w:val="24"/>
          <w:rtl/>
        </w:rPr>
        <w:t xml:space="preserve">* </w:t>
      </w:r>
      <w:r w:rsidRPr="00D857CD">
        <w:rPr>
          <w:rFonts w:cs="David" w:hint="cs"/>
          <w:sz w:val="24"/>
          <w:szCs w:val="24"/>
          <w:u w:val="single"/>
          <w:rtl/>
        </w:rPr>
        <w:t>שומן רב בלתי רווי</w:t>
      </w:r>
      <w:r>
        <w:rPr>
          <w:rFonts w:cs="David" w:hint="cs"/>
          <w:sz w:val="24"/>
          <w:szCs w:val="24"/>
          <w:rtl/>
        </w:rPr>
        <w:t>-</w:t>
      </w:r>
      <w:r w:rsidRPr="00A002AC">
        <w:rPr>
          <w:rFonts w:cs="David" w:hint="cs"/>
          <w:sz w:val="24"/>
          <w:szCs w:val="24"/>
          <w:rtl/>
        </w:rPr>
        <w:t xml:space="preserve"> שומן שמקורו בעיקר מן הצומח (-</w:t>
      </w:r>
      <w:r w:rsidRPr="00A002AC">
        <w:rPr>
          <w:rFonts w:cs="David"/>
          <w:sz w:val="24"/>
          <w:szCs w:val="24"/>
          <w:rtl/>
        </w:rPr>
        <w:t>שמן תירס, שמן דגים, שמן סויה, גרעיני אבטיח, גרעיני דלעת, גרעיני חמניות</w:t>
      </w:r>
      <w:r w:rsidRPr="00A002AC">
        <w:rPr>
          <w:rFonts w:cs="David" w:hint="cs"/>
          <w:sz w:val="24"/>
          <w:szCs w:val="24"/>
          <w:rtl/>
        </w:rPr>
        <w:t xml:space="preserve"> ו</w:t>
      </w:r>
      <w:r w:rsidRPr="00A002AC">
        <w:rPr>
          <w:rFonts w:cs="David"/>
          <w:sz w:val="24"/>
          <w:szCs w:val="24"/>
          <w:rtl/>
        </w:rPr>
        <w:t>אגוזי מלך</w:t>
      </w:r>
      <w:r w:rsidRPr="00A002AC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-</w:t>
      </w:r>
      <w:r w:rsidRPr="00A002AC">
        <w:rPr>
          <w:rFonts w:cs="David" w:hint="cs"/>
          <w:sz w:val="24"/>
          <w:szCs w:val="24"/>
          <w:rtl/>
        </w:rPr>
        <w:t xml:space="preserve"> לו הן השפעות מיטיבות והן השפעות שלילות על הבריאות.</w:t>
      </w:r>
      <w:r w:rsidRPr="00A002AC">
        <w:rPr>
          <w:rFonts w:cs="David"/>
          <w:sz w:val="24"/>
          <w:szCs w:val="24"/>
          <w:rtl/>
        </w:rPr>
        <w:br/>
      </w:r>
      <w:r w:rsidRPr="00A002AC">
        <w:rPr>
          <w:rFonts w:cs="David" w:hint="cs"/>
          <w:sz w:val="24"/>
          <w:szCs w:val="24"/>
          <w:rtl/>
        </w:rPr>
        <w:t xml:space="preserve">* </w:t>
      </w:r>
      <w:r w:rsidRPr="00D857CD">
        <w:rPr>
          <w:rFonts w:cs="David" w:hint="cs"/>
          <w:sz w:val="24"/>
          <w:szCs w:val="24"/>
          <w:u w:val="single"/>
          <w:rtl/>
        </w:rPr>
        <w:t>שומן חד בלתי רווי</w:t>
      </w:r>
      <w:r>
        <w:rPr>
          <w:rFonts w:cs="David" w:hint="cs"/>
          <w:sz w:val="24"/>
          <w:szCs w:val="24"/>
          <w:rtl/>
        </w:rPr>
        <w:t xml:space="preserve">- </w:t>
      </w:r>
      <w:r w:rsidRPr="00A002AC">
        <w:rPr>
          <w:rFonts w:cs="David" w:hint="cs"/>
          <w:sz w:val="24"/>
          <w:szCs w:val="24"/>
          <w:rtl/>
        </w:rPr>
        <w:t>מקורו בעיקר מן הצומח (</w:t>
      </w:r>
      <w:r w:rsidRPr="00A002AC">
        <w:rPr>
          <w:rFonts w:cs="David"/>
          <w:sz w:val="24"/>
          <w:szCs w:val="24"/>
          <w:rtl/>
        </w:rPr>
        <w:t xml:space="preserve">שמן זית, שמן קנולה, טחינה, זיתים, אבוקדו, </w:t>
      </w:r>
      <w:r w:rsidRPr="00A002AC">
        <w:rPr>
          <w:rFonts w:cs="David" w:hint="cs"/>
          <w:sz w:val="24"/>
          <w:szCs w:val="24"/>
          <w:rtl/>
        </w:rPr>
        <w:t>אגוזי פקאן</w:t>
      </w:r>
      <w:r w:rsidRPr="00A002AC">
        <w:rPr>
          <w:rFonts w:cs="David"/>
          <w:sz w:val="24"/>
          <w:szCs w:val="24"/>
          <w:rtl/>
        </w:rPr>
        <w:t>, בוטנים, שקדים</w:t>
      </w:r>
      <w:r w:rsidRPr="00A002AC">
        <w:rPr>
          <w:rFonts w:cs="David" w:hint="cs"/>
          <w:sz w:val="24"/>
          <w:szCs w:val="24"/>
          <w:rtl/>
        </w:rPr>
        <w:t xml:space="preserve"> ו</w:t>
      </w:r>
      <w:r w:rsidRPr="00A002AC">
        <w:rPr>
          <w:rFonts w:cs="David"/>
          <w:sz w:val="24"/>
          <w:szCs w:val="24"/>
          <w:rtl/>
        </w:rPr>
        <w:t>אגוזי קשיו</w:t>
      </w:r>
      <w:r w:rsidRPr="00A002AC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-</w:t>
      </w:r>
      <w:r w:rsidRPr="00A002AC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בעל</w:t>
      </w:r>
      <w:r w:rsidRPr="00A002AC">
        <w:rPr>
          <w:rFonts w:cs="David" w:hint="cs"/>
          <w:sz w:val="24"/>
          <w:szCs w:val="24"/>
          <w:rtl/>
        </w:rPr>
        <w:t xml:space="preserve"> השפעה מיטיבה על הבריאות.</w:t>
      </w:r>
      <w:r w:rsidRPr="00A002AC">
        <w:rPr>
          <w:rFonts w:cs="David"/>
          <w:sz w:val="24"/>
          <w:szCs w:val="24"/>
          <w:rtl/>
        </w:rPr>
        <w:br/>
      </w:r>
      <w:r w:rsidRPr="00A002AC">
        <w:rPr>
          <w:rFonts w:cs="David" w:hint="cs"/>
          <w:sz w:val="24"/>
          <w:szCs w:val="24"/>
          <w:rtl/>
        </w:rPr>
        <w:t xml:space="preserve">* </w:t>
      </w:r>
      <w:r w:rsidRPr="00D857CD">
        <w:rPr>
          <w:rFonts w:cs="David" w:hint="cs"/>
          <w:sz w:val="24"/>
          <w:szCs w:val="24"/>
          <w:u w:val="single"/>
          <w:rtl/>
        </w:rPr>
        <w:t>שומן טרנס</w:t>
      </w:r>
      <w:r>
        <w:rPr>
          <w:rFonts w:cs="David" w:hint="cs"/>
          <w:sz w:val="24"/>
          <w:szCs w:val="24"/>
          <w:rtl/>
        </w:rPr>
        <w:t>-</w:t>
      </w:r>
      <w:r w:rsidRPr="00A002AC">
        <w:rPr>
          <w:rFonts w:cs="David" w:hint="cs"/>
          <w:b/>
          <w:bCs/>
          <w:sz w:val="24"/>
          <w:szCs w:val="24"/>
          <w:rtl/>
        </w:rPr>
        <w:t xml:space="preserve"> </w:t>
      </w:r>
      <w:r w:rsidRPr="00A002AC">
        <w:rPr>
          <w:rFonts w:cs="David" w:hint="cs"/>
          <w:sz w:val="24"/>
          <w:szCs w:val="24"/>
          <w:rtl/>
        </w:rPr>
        <w:t>מקורו בשומן צמחי מוקשה כגון מרגרינה</w:t>
      </w:r>
      <w:r>
        <w:rPr>
          <w:rFonts w:cs="David" w:hint="cs"/>
          <w:sz w:val="24"/>
          <w:szCs w:val="24"/>
          <w:rtl/>
        </w:rPr>
        <w:t xml:space="preserve">, חטיפים מלוחים, עוגיות, עוגות מאפה, חמאת בוטנים, ממרח שוקולד ועוד.-  </w:t>
      </w:r>
      <w:r w:rsidRPr="00A002AC">
        <w:rPr>
          <w:rFonts w:cs="David" w:hint="cs"/>
          <w:sz w:val="24"/>
          <w:szCs w:val="24"/>
          <w:rtl/>
        </w:rPr>
        <w:t>לו מיוחסת ההשפעה המזיקה ביותר על הבריאות.</w:t>
      </w:r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 xml:space="preserve">על אף שלצעירים יכולת גבוהה יותר לנצל שומן כמקור אנרגיה בזמן פעילות גופנית, הם אינם זקוקים לתוספת שומן במזון. </w:t>
      </w:r>
      <w:r w:rsidRPr="00817199">
        <w:rPr>
          <w:rFonts w:hint="cs"/>
          <w:b/>
          <w:bCs/>
          <w:rtl/>
        </w:rPr>
        <w:t>כמות השומן המומלצת נעה</w:t>
      </w:r>
      <w:r w:rsidRPr="00817199">
        <w:rPr>
          <w:rFonts w:cs="David" w:hint="cs"/>
          <w:b/>
          <w:bCs/>
          <w:sz w:val="24"/>
          <w:szCs w:val="24"/>
          <w:rtl/>
        </w:rPr>
        <w:t xml:space="preserve"> בין 25 </w:t>
      </w:r>
      <w:r w:rsidRPr="00817199">
        <w:rPr>
          <w:rFonts w:cs="David"/>
          <w:b/>
          <w:bCs/>
          <w:sz w:val="24"/>
          <w:szCs w:val="24"/>
          <w:rtl/>
        </w:rPr>
        <w:t>–</w:t>
      </w:r>
      <w:r w:rsidRPr="00817199">
        <w:rPr>
          <w:rFonts w:cs="David" w:hint="cs"/>
          <w:b/>
          <w:bCs/>
          <w:sz w:val="24"/>
          <w:szCs w:val="24"/>
          <w:rtl/>
        </w:rPr>
        <w:t xml:space="preserve"> 35% שומן מסך הקלוריות היומיות, כאשר שומן רווי צריך להוות פחות מ </w:t>
      </w:r>
      <w:r w:rsidRPr="00817199">
        <w:rPr>
          <w:rFonts w:cs="David"/>
          <w:b/>
          <w:bCs/>
          <w:sz w:val="24"/>
          <w:szCs w:val="24"/>
          <w:rtl/>
        </w:rPr>
        <w:t>–</w:t>
      </w:r>
      <w:r w:rsidRPr="00817199">
        <w:rPr>
          <w:rFonts w:cs="David" w:hint="cs"/>
          <w:b/>
          <w:bCs/>
          <w:sz w:val="24"/>
          <w:szCs w:val="24"/>
          <w:rtl/>
        </w:rPr>
        <w:t xml:space="preserve"> 10%.</w:t>
      </w:r>
    </w:p>
    <w:p w:rsidR="00230D93" w:rsidRDefault="00230D93" w:rsidP="00FF0BA7">
      <w:pPr>
        <w:spacing w:line="360" w:lineRule="auto"/>
        <w:ind w:left="360" w:right="-540"/>
        <w:rPr>
          <w:rFonts w:cs="David"/>
          <w:sz w:val="24"/>
          <w:szCs w:val="24"/>
          <w:rtl/>
        </w:rPr>
      </w:pPr>
    </w:p>
    <w:p w:rsidR="00230D93" w:rsidRDefault="00230D93" w:rsidP="00FF0BA7">
      <w:pPr>
        <w:spacing w:line="360" w:lineRule="auto"/>
        <w:ind w:left="360" w:right="-540"/>
        <w:rPr>
          <w:rFonts w:cs="David"/>
          <w:sz w:val="24"/>
          <w:szCs w:val="24"/>
          <w:rtl/>
        </w:rPr>
      </w:pPr>
    </w:p>
    <w:p w:rsidR="00FF0BA7" w:rsidRDefault="00FF0BA7" w:rsidP="00FF0BA7">
      <w:pPr>
        <w:spacing w:line="360" w:lineRule="auto"/>
        <w:ind w:left="360" w:right="-540"/>
        <w:rPr>
          <w:rFonts w:cs="David"/>
          <w:sz w:val="24"/>
          <w:szCs w:val="24"/>
          <w:rtl/>
        </w:rPr>
      </w:pPr>
      <w:r w:rsidRPr="00FF0BA7">
        <w:rPr>
          <w:rFonts w:cs="David" w:hint="cs"/>
          <w:noProof/>
          <w:sz w:val="24"/>
          <w:szCs w:val="24"/>
          <w:rtl/>
        </w:rPr>
        <w:drawing>
          <wp:inline distT="0" distB="0" distL="0" distR="0">
            <wp:extent cx="5274310" cy="395273"/>
            <wp:effectExtent l="19050" t="0" r="2540" b="0"/>
            <wp:docPr id="6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A7" w:rsidRDefault="00FF0BA7" w:rsidP="00FF0BA7">
      <w:pPr>
        <w:spacing w:line="360" w:lineRule="auto"/>
        <w:ind w:left="360" w:right="-540"/>
        <w:rPr>
          <w:rFonts w:cs="David"/>
          <w:sz w:val="24"/>
          <w:szCs w:val="24"/>
          <w:rtl/>
        </w:rPr>
      </w:pPr>
      <w:r w:rsidRPr="00FF0BA7">
        <w:rPr>
          <w:rFonts w:cs="David" w:hint="cs"/>
          <w:noProof/>
          <w:sz w:val="24"/>
          <w:szCs w:val="24"/>
          <w:rtl/>
        </w:rPr>
        <w:lastRenderedPageBreak/>
        <w:drawing>
          <wp:inline distT="0" distB="0" distL="0" distR="0">
            <wp:extent cx="2966940" cy="505158"/>
            <wp:effectExtent l="19050" t="0" r="4860" b="0"/>
            <wp:docPr id="10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56" cy="50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D93" w:rsidRDefault="00230D93" w:rsidP="00230D93">
      <w:pPr>
        <w:spacing w:line="360" w:lineRule="auto"/>
        <w:ind w:right="-540"/>
        <w:rPr>
          <w:rFonts w:cs="David"/>
          <w:sz w:val="24"/>
          <w:szCs w:val="24"/>
          <w:rtl/>
        </w:rPr>
      </w:pPr>
    </w:p>
    <w:p w:rsidR="00230D93" w:rsidRPr="00FF0BA7" w:rsidRDefault="00230D93" w:rsidP="00230D93">
      <w:pPr>
        <w:pStyle w:val="a5"/>
        <w:numPr>
          <w:ilvl w:val="0"/>
          <w:numId w:val="6"/>
        </w:numPr>
        <w:spacing w:line="360" w:lineRule="auto"/>
        <w:ind w:right="-540"/>
        <w:rPr>
          <w:rFonts w:cs="David"/>
          <w:sz w:val="28"/>
          <w:szCs w:val="28"/>
          <w:rtl/>
        </w:rPr>
      </w:pPr>
      <w:r w:rsidRPr="00FF0BA7">
        <w:rPr>
          <w:rFonts w:cs="David" w:hint="cs"/>
          <w:sz w:val="28"/>
          <w:szCs w:val="28"/>
          <w:rtl/>
        </w:rPr>
        <w:t>ויטמינים ומינרלים</w:t>
      </w:r>
    </w:p>
    <w:p w:rsidR="00FF0BA7" w:rsidRPr="00FF0BA7" w:rsidRDefault="00230D93" w:rsidP="00230D93">
      <w:pPr>
        <w:spacing w:line="360" w:lineRule="auto"/>
        <w:ind w:left="360" w:right="-540"/>
        <w:rPr>
          <w:rFonts w:cs="David"/>
          <w:sz w:val="24"/>
          <w:szCs w:val="24"/>
          <w:rtl/>
        </w:rPr>
      </w:pPr>
      <w:r w:rsidRPr="00A002AC">
        <w:rPr>
          <w:rFonts w:cs="David" w:hint="cs"/>
          <w:sz w:val="24"/>
          <w:szCs w:val="24"/>
          <w:rtl/>
        </w:rPr>
        <w:t>ויטמינים</w:t>
      </w:r>
      <w:r w:rsidRPr="00A002AC">
        <w:rPr>
          <w:rFonts w:cs="David" w:hint="cs"/>
          <w:sz w:val="24"/>
          <w:szCs w:val="24"/>
        </w:rPr>
        <w:t xml:space="preserve"> </w:t>
      </w:r>
      <w:r w:rsidRPr="00A002AC">
        <w:rPr>
          <w:rFonts w:cs="David" w:hint="cs"/>
          <w:sz w:val="24"/>
          <w:szCs w:val="24"/>
          <w:rtl/>
        </w:rPr>
        <w:t>הם</w:t>
      </w:r>
      <w:r w:rsidRPr="00A002AC">
        <w:rPr>
          <w:rFonts w:cs="David" w:hint="cs"/>
          <w:sz w:val="24"/>
          <w:szCs w:val="24"/>
        </w:rPr>
        <w:t xml:space="preserve"> </w:t>
      </w:r>
      <w:r w:rsidRPr="00A002AC">
        <w:rPr>
          <w:rFonts w:cs="David" w:hint="cs"/>
          <w:sz w:val="24"/>
          <w:szCs w:val="24"/>
          <w:rtl/>
        </w:rPr>
        <w:t xml:space="preserve">חומרים אורגניים, הנחוצים לגוף האדם בכמויות זעירות </w:t>
      </w:r>
      <w:r>
        <w:rPr>
          <w:rFonts w:cs="David" w:hint="cs"/>
          <w:sz w:val="24"/>
          <w:szCs w:val="24"/>
          <w:rtl/>
        </w:rPr>
        <w:t>לצורך תפקודים שונים, ביניהם: התאוששות מאימונים, שמירה על ביצועים ועוד</w:t>
      </w:r>
      <w:r w:rsidRPr="00A002AC">
        <w:rPr>
          <w:rFonts w:cs="David" w:hint="cs"/>
          <w:sz w:val="24"/>
          <w:szCs w:val="24"/>
          <w:rtl/>
        </w:rPr>
        <w:t xml:space="preserve">. מקורם </w:t>
      </w:r>
      <w:r>
        <w:rPr>
          <w:rFonts w:cs="David" w:hint="cs"/>
          <w:sz w:val="24"/>
          <w:szCs w:val="24"/>
          <w:rtl/>
        </w:rPr>
        <w:t xml:space="preserve">העיקרי </w:t>
      </w:r>
      <w:r w:rsidRPr="00A002AC">
        <w:rPr>
          <w:rFonts w:cs="David" w:hint="cs"/>
          <w:sz w:val="24"/>
          <w:szCs w:val="24"/>
          <w:rtl/>
        </w:rPr>
        <w:t xml:space="preserve">של הוויטמינים בפירות </w:t>
      </w:r>
      <w:r>
        <w:rPr>
          <w:rFonts w:cs="David" w:hint="cs"/>
          <w:sz w:val="24"/>
          <w:szCs w:val="24"/>
          <w:rtl/>
        </w:rPr>
        <w:t xml:space="preserve">וירקות. </w:t>
      </w:r>
      <w:r w:rsidRPr="00817199">
        <w:rPr>
          <w:rFonts w:cs="David" w:hint="cs"/>
          <w:b/>
          <w:bCs/>
          <w:sz w:val="24"/>
          <w:szCs w:val="24"/>
          <w:rtl/>
        </w:rPr>
        <w:t xml:space="preserve">לכן, חשוב לצרוך בין 5 </w:t>
      </w:r>
      <w:r w:rsidRPr="00817199">
        <w:rPr>
          <w:rFonts w:cs="David"/>
          <w:b/>
          <w:bCs/>
          <w:sz w:val="24"/>
          <w:szCs w:val="24"/>
          <w:rtl/>
        </w:rPr>
        <w:t>–</w:t>
      </w:r>
      <w:r w:rsidRPr="00817199">
        <w:rPr>
          <w:rFonts w:cs="David" w:hint="cs"/>
          <w:b/>
          <w:bCs/>
          <w:sz w:val="24"/>
          <w:szCs w:val="24"/>
          <w:rtl/>
        </w:rPr>
        <w:t xml:space="preserve"> 9 מנות פרי וירקות ליממה.</w:t>
      </w:r>
      <w:r w:rsidR="00FF0BA7">
        <w:rPr>
          <w:rFonts w:cs="David"/>
          <w:sz w:val="24"/>
          <w:szCs w:val="24"/>
          <w:rtl/>
        </w:rPr>
        <w:br/>
      </w:r>
      <w:r w:rsidR="00FF0BA7">
        <w:rPr>
          <w:rFonts w:cs="David" w:hint="cs"/>
          <w:sz w:val="24"/>
          <w:szCs w:val="24"/>
          <w:rtl/>
        </w:rPr>
        <w:t xml:space="preserve">סידן - הצריכה המומלצת של סידן מבוססת על הכמות הנדרשת על מנת לשמור על מאזן הסידן, ועל רמות </w:t>
      </w:r>
      <w:r>
        <w:rPr>
          <w:rFonts w:cs="David" w:hint="cs"/>
          <w:sz w:val="24"/>
          <w:szCs w:val="24"/>
          <w:rtl/>
        </w:rPr>
        <w:t>אופטימאליות</w:t>
      </w:r>
      <w:r w:rsidR="00FF0BA7">
        <w:rPr>
          <w:rFonts w:cs="David" w:hint="cs"/>
          <w:sz w:val="24"/>
          <w:szCs w:val="24"/>
          <w:rtl/>
        </w:rPr>
        <w:t xml:space="preserve"> להצטברות בעצם. ההמלצה למתבגרים היא 1300 מ"ג סידן ביממה.</w:t>
      </w:r>
      <w:r w:rsidR="00FF0BA7">
        <w:rPr>
          <w:rFonts w:cs="David"/>
          <w:sz w:val="24"/>
          <w:szCs w:val="24"/>
          <w:rtl/>
        </w:rPr>
        <w:br/>
      </w:r>
      <w:r w:rsidR="00FF0BA7">
        <w:rPr>
          <w:rFonts w:cs="David" w:hint="cs"/>
          <w:sz w:val="24"/>
          <w:szCs w:val="24"/>
          <w:rtl/>
        </w:rPr>
        <w:t xml:space="preserve">ברזל </w:t>
      </w:r>
      <w:r w:rsidR="00FF0BA7">
        <w:rPr>
          <w:rFonts w:cs="David"/>
          <w:sz w:val="24"/>
          <w:szCs w:val="24"/>
          <w:rtl/>
        </w:rPr>
        <w:t>–</w:t>
      </w:r>
      <w:r w:rsidR="00FF0BA7">
        <w:rPr>
          <w:rFonts w:cs="David" w:hint="cs"/>
          <w:sz w:val="24"/>
          <w:szCs w:val="24"/>
          <w:rtl/>
        </w:rPr>
        <w:t xml:space="preserve"> שכיחות חוסר הברזל בישראל גבוהה מאוד. לספורטאים אשר נדרשים לתפקוד גופני </w:t>
      </w:r>
      <w:r>
        <w:rPr>
          <w:rFonts w:cs="David" w:hint="cs"/>
          <w:sz w:val="24"/>
          <w:szCs w:val="24"/>
          <w:rtl/>
        </w:rPr>
        <w:t>ומנטאלי</w:t>
      </w:r>
      <w:r w:rsidR="00FF0BA7">
        <w:rPr>
          <w:rFonts w:cs="David" w:hint="cs"/>
          <w:sz w:val="24"/>
          <w:szCs w:val="24"/>
          <w:rtl/>
        </w:rPr>
        <w:t xml:space="preserve"> מרביים, חשיבות הברזל היא רבה. ההמלצות לצריכת ברזל בקרב ספורטאים צעירים הם:</w:t>
      </w:r>
    </w:p>
    <w:p w:rsidR="00230D93" w:rsidRDefault="00230D93" w:rsidP="00870EEF">
      <w:pPr>
        <w:rPr>
          <w:rtl/>
        </w:rPr>
      </w:pPr>
    </w:p>
    <w:tbl>
      <w:tblPr>
        <w:tblpPr w:leftFromText="180" w:rightFromText="180" w:vertAnchor="text" w:horzAnchor="margin" w:tblpXSpec="right" w:tblpY="-70"/>
        <w:bidiVisual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3"/>
        <w:gridCol w:w="6662"/>
      </w:tblGrid>
      <w:tr w:rsidR="00FF0BA7" w:rsidRPr="00E07E07" w:rsidTr="00F02FBA">
        <w:trPr>
          <w:trHeight w:val="451"/>
        </w:trPr>
        <w:tc>
          <w:tcPr>
            <w:tcW w:w="3393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גיל ומין</w:t>
            </w:r>
          </w:p>
        </w:tc>
        <w:tc>
          <w:tcPr>
            <w:tcW w:w="6662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כמות ברזל יומית(מ"ג)</w:t>
            </w:r>
          </w:p>
        </w:tc>
      </w:tr>
      <w:tr w:rsidR="00FF0BA7" w:rsidRPr="00E07E07" w:rsidTr="00F02FBA">
        <w:trPr>
          <w:trHeight w:val="451"/>
        </w:trPr>
        <w:tc>
          <w:tcPr>
            <w:tcW w:w="3393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בנים ובנות בגילאי 9 - 13</w:t>
            </w:r>
          </w:p>
        </w:tc>
        <w:tc>
          <w:tcPr>
            <w:tcW w:w="6662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19 </w:t>
            </w:r>
            <w:r w:rsidRPr="00E07E07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25 מ"ג</w:t>
            </w:r>
          </w:p>
        </w:tc>
      </w:tr>
      <w:tr w:rsidR="00FF0BA7" w:rsidRPr="00E07E07" w:rsidTr="00F02FBA">
        <w:trPr>
          <w:trHeight w:val="451"/>
        </w:trPr>
        <w:tc>
          <w:tcPr>
            <w:tcW w:w="3393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בנים בגילאי 14 - 18</w:t>
            </w:r>
          </w:p>
        </w:tc>
        <w:tc>
          <w:tcPr>
            <w:tcW w:w="6662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26 </w:t>
            </w:r>
            <w:r w:rsidRPr="00E07E07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34 מ"ג</w:t>
            </w:r>
          </w:p>
        </w:tc>
      </w:tr>
      <w:tr w:rsidR="00FF0BA7" w:rsidRPr="00E07E07" w:rsidTr="00F02FBA">
        <w:trPr>
          <w:trHeight w:val="451"/>
        </w:trPr>
        <w:tc>
          <w:tcPr>
            <w:tcW w:w="3393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בנות בגילאי 14 - 18</w:t>
            </w:r>
          </w:p>
        </w:tc>
        <w:tc>
          <w:tcPr>
            <w:tcW w:w="6662" w:type="dxa"/>
            <w:shd w:val="clear" w:color="auto" w:fill="auto"/>
          </w:tcPr>
          <w:p w:rsidR="00FF0BA7" w:rsidRPr="00FF0BA7" w:rsidRDefault="00FF0BA7" w:rsidP="00FF0BA7">
            <w:pPr>
              <w:pStyle w:val="a5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F0BA7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FF0BA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46 מ"ג</w:t>
            </w:r>
          </w:p>
        </w:tc>
      </w:tr>
    </w:tbl>
    <w:p w:rsidR="00230D93" w:rsidRPr="00230D93" w:rsidRDefault="00230D93" w:rsidP="00230D93">
      <w:pPr>
        <w:spacing w:line="360" w:lineRule="auto"/>
        <w:ind w:left="425"/>
        <w:jc w:val="both"/>
        <w:rPr>
          <w:rFonts w:cs="David"/>
          <w:sz w:val="28"/>
          <w:szCs w:val="28"/>
        </w:rPr>
      </w:pPr>
    </w:p>
    <w:p w:rsidR="00230D93" w:rsidRDefault="00FF0BA7" w:rsidP="00230D93">
      <w:pPr>
        <w:pStyle w:val="a5"/>
        <w:numPr>
          <w:ilvl w:val="0"/>
          <w:numId w:val="6"/>
        </w:numPr>
        <w:spacing w:line="360" w:lineRule="auto"/>
        <w:jc w:val="both"/>
        <w:rPr>
          <w:rFonts w:cs="David"/>
          <w:sz w:val="28"/>
          <w:szCs w:val="28"/>
          <w:rtl/>
        </w:rPr>
      </w:pPr>
      <w:r w:rsidRPr="00230D93">
        <w:rPr>
          <w:rFonts w:cs="David" w:hint="cs"/>
          <w:sz w:val="28"/>
          <w:szCs w:val="28"/>
          <w:rtl/>
        </w:rPr>
        <w:t>נוזלים</w:t>
      </w:r>
      <w:r w:rsidRPr="00230D93">
        <w:rPr>
          <w:rFonts w:cs="David" w:hint="cs"/>
          <w:sz w:val="28"/>
          <w:szCs w:val="28"/>
          <w:rtl/>
        </w:rPr>
        <w:br/>
      </w:r>
      <w:r w:rsidRPr="00230D93">
        <w:rPr>
          <w:rFonts w:cs="David" w:hint="cs"/>
          <w:sz w:val="24"/>
          <w:szCs w:val="24"/>
          <w:rtl/>
        </w:rPr>
        <w:t>ספורטאים צעירים המבצעים פעילות גופנית ממושכת או אינטנסיבית לסירוגין, עשויים לסבול מהתייבשות(אובדן נוזלים גדול יותר מצריכת הנוזלים), העלולה להשפיע על הביצועים והבריאות. התייבשות של מעל  2% מ</w:t>
      </w:r>
      <w:r w:rsidR="00230D93" w:rsidRPr="00230D93">
        <w:rPr>
          <w:rFonts w:cs="David" w:hint="cs"/>
          <w:sz w:val="24"/>
          <w:szCs w:val="24"/>
          <w:rtl/>
        </w:rPr>
        <w:t>משקל הגוף יכולה לפגוע בביצועים.</w:t>
      </w:r>
      <w:r w:rsidR="00230D93" w:rsidRPr="00230D93">
        <w:rPr>
          <w:rFonts w:cs="David" w:hint="cs"/>
          <w:sz w:val="28"/>
          <w:szCs w:val="28"/>
          <w:rtl/>
        </w:rPr>
        <w:t xml:space="preserve"> </w:t>
      </w:r>
    </w:p>
    <w:p w:rsidR="00230D93" w:rsidRDefault="00230D93" w:rsidP="00230D93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230D93" w:rsidRDefault="00230D93" w:rsidP="00230D93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230D93" w:rsidRDefault="00230D93" w:rsidP="00230D93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230D93" w:rsidRDefault="00230D93" w:rsidP="00230D93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230D93">
        <w:rPr>
          <w:rFonts w:cs="David" w:hint="cs"/>
          <w:noProof/>
          <w:sz w:val="28"/>
          <w:szCs w:val="28"/>
          <w:rtl/>
        </w:rPr>
        <w:drawing>
          <wp:inline distT="0" distB="0" distL="0" distR="0">
            <wp:extent cx="5274310" cy="395273"/>
            <wp:effectExtent l="19050" t="0" r="2540" b="0"/>
            <wp:docPr id="16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D93" w:rsidRDefault="00230D93" w:rsidP="00230D93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230D93" w:rsidRDefault="00230D93" w:rsidP="00230D93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230D93">
        <w:rPr>
          <w:rFonts w:cs="David" w:hint="cs"/>
          <w:noProof/>
          <w:sz w:val="28"/>
          <w:szCs w:val="28"/>
          <w:rtl/>
        </w:rPr>
        <w:lastRenderedPageBreak/>
        <w:drawing>
          <wp:inline distT="0" distB="0" distL="0" distR="0">
            <wp:extent cx="2966940" cy="505158"/>
            <wp:effectExtent l="19050" t="0" r="4860" b="0"/>
            <wp:docPr id="15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56" cy="50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D93" w:rsidRDefault="00230D93" w:rsidP="00230D93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230D93" w:rsidRPr="00230D93" w:rsidRDefault="00230D93" w:rsidP="00230D93">
      <w:pPr>
        <w:spacing w:line="360" w:lineRule="auto"/>
        <w:ind w:left="425"/>
        <w:jc w:val="both"/>
        <w:rPr>
          <w:rFonts w:cs="David"/>
          <w:sz w:val="28"/>
          <w:szCs w:val="28"/>
        </w:rPr>
      </w:pPr>
      <w:r w:rsidRPr="00230D93">
        <w:rPr>
          <w:rFonts w:cs="David" w:hint="cs"/>
          <w:sz w:val="24"/>
          <w:szCs w:val="24"/>
          <w:rtl/>
        </w:rPr>
        <w:t>כמות הנוזלים המומלצת היא:</w:t>
      </w:r>
    </w:p>
    <w:tbl>
      <w:tblPr>
        <w:tblpPr w:leftFromText="180" w:rightFromText="180" w:vertAnchor="text" w:horzAnchor="margin" w:tblpXSpec="center" w:tblpY="370"/>
        <w:bidiVisual/>
        <w:tblW w:w="7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"/>
        <w:gridCol w:w="2262"/>
        <w:gridCol w:w="4415"/>
      </w:tblGrid>
      <w:tr w:rsidR="00FF0BA7" w:rsidRPr="00E07E07" w:rsidTr="00F02FBA">
        <w:trPr>
          <w:trHeight w:val="371"/>
        </w:trPr>
        <w:tc>
          <w:tcPr>
            <w:tcW w:w="1065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גיל (שנים)</w:t>
            </w:r>
          </w:p>
        </w:tc>
        <w:tc>
          <w:tcPr>
            <w:tcW w:w="2262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זמן (דקות)</w:t>
            </w:r>
          </w:p>
        </w:tc>
        <w:tc>
          <w:tcPr>
            <w:tcW w:w="4415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נפח (מ"ל)</w:t>
            </w:r>
          </w:p>
        </w:tc>
      </w:tr>
      <w:tr w:rsidR="00FF0BA7" w:rsidRPr="00E07E07" w:rsidTr="00F02FBA">
        <w:trPr>
          <w:trHeight w:val="371"/>
        </w:trPr>
        <w:tc>
          <w:tcPr>
            <w:tcW w:w="1065" w:type="dxa"/>
            <w:vMerge w:val="restart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262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45 דקות לפני אימון</w:t>
            </w:r>
          </w:p>
        </w:tc>
        <w:tc>
          <w:tcPr>
            <w:tcW w:w="4415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150 </w:t>
            </w:r>
            <w:r w:rsidRPr="00E07E07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200</w:t>
            </w:r>
          </w:p>
        </w:tc>
      </w:tr>
      <w:tr w:rsidR="00FF0BA7" w:rsidRPr="00E07E07" w:rsidTr="00F02FBA">
        <w:trPr>
          <w:trHeight w:val="371"/>
        </w:trPr>
        <w:tc>
          <w:tcPr>
            <w:tcW w:w="1065" w:type="dxa"/>
            <w:vMerge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2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20 דקות במהלך אימון</w:t>
            </w:r>
          </w:p>
        </w:tc>
        <w:tc>
          <w:tcPr>
            <w:tcW w:w="4415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75 </w:t>
            </w:r>
            <w:r w:rsidRPr="00E07E07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100</w:t>
            </w:r>
          </w:p>
        </w:tc>
      </w:tr>
      <w:tr w:rsidR="00FF0BA7" w:rsidRPr="00E07E07" w:rsidTr="00F02FBA">
        <w:trPr>
          <w:trHeight w:val="371"/>
        </w:trPr>
        <w:tc>
          <w:tcPr>
            <w:tcW w:w="1065" w:type="dxa"/>
            <w:vMerge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2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מיד בסיום אימון</w:t>
            </w:r>
          </w:p>
        </w:tc>
        <w:tc>
          <w:tcPr>
            <w:tcW w:w="4415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באופן חופשי ועד למתן שתן בהיר</w:t>
            </w:r>
          </w:p>
        </w:tc>
      </w:tr>
      <w:tr w:rsidR="00FF0BA7" w:rsidRPr="00E07E07" w:rsidTr="00F02FBA">
        <w:trPr>
          <w:trHeight w:val="371"/>
        </w:trPr>
        <w:tc>
          <w:tcPr>
            <w:tcW w:w="1065" w:type="dxa"/>
            <w:vMerge w:val="restart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262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45 דקות לפני אימון</w:t>
            </w:r>
          </w:p>
        </w:tc>
        <w:tc>
          <w:tcPr>
            <w:tcW w:w="4415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300 </w:t>
            </w:r>
            <w:r w:rsidRPr="00E07E07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400</w:t>
            </w:r>
          </w:p>
        </w:tc>
      </w:tr>
      <w:tr w:rsidR="00FF0BA7" w:rsidRPr="00E07E07" w:rsidTr="00F02FBA">
        <w:trPr>
          <w:trHeight w:val="306"/>
        </w:trPr>
        <w:tc>
          <w:tcPr>
            <w:tcW w:w="1065" w:type="dxa"/>
            <w:vMerge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2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20 דקות במהלך אימון</w:t>
            </w:r>
          </w:p>
        </w:tc>
        <w:tc>
          <w:tcPr>
            <w:tcW w:w="4415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75 </w:t>
            </w:r>
            <w:r w:rsidRPr="00E07E07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100</w:t>
            </w:r>
          </w:p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FF0BA7" w:rsidRPr="00E07E07" w:rsidTr="00F02FBA">
        <w:trPr>
          <w:trHeight w:val="371"/>
        </w:trPr>
        <w:tc>
          <w:tcPr>
            <w:tcW w:w="1065" w:type="dxa"/>
            <w:vMerge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2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מיד בסיום אימון</w:t>
            </w:r>
          </w:p>
        </w:tc>
        <w:tc>
          <w:tcPr>
            <w:tcW w:w="4415" w:type="dxa"/>
            <w:shd w:val="clear" w:color="auto" w:fill="auto"/>
          </w:tcPr>
          <w:p w:rsidR="00FF0BA7" w:rsidRPr="00E07E07" w:rsidRDefault="00FF0BA7" w:rsidP="00F02FBA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07E07">
              <w:rPr>
                <w:rFonts w:cs="David" w:hint="cs"/>
                <w:b/>
                <w:bCs/>
                <w:sz w:val="24"/>
                <w:szCs w:val="24"/>
                <w:rtl/>
              </w:rPr>
              <w:t>באופן חופשי ועד למתן שתן בהיר</w:t>
            </w:r>
          </w:p>
        </w:tc>
      </w:tr>
    </w:tbl>
    <w:p w:rsidR="00FF0BA7" w:rsidRPr="00404461" w:rsidRDefault="00FF0BA7" w:rsidP="00FF0BA7"/>
    <w:p w:rsidR="00FF0BA7" w:rsidRPr="00404461" w:rsidRDefault="00FF0BA7" w:rsidP="00FF0BA7"/>
    <w:p w:rsidR="00FF0BA7" w:rsidRPr="00404461" w:rsidRDefault="00FF0BA7" w:rsidP="00FF0BA7"/>
    <w:p w:rsidR="00FF0BA7" w:rsidRDefault="00FF0BA7" w:rsidP="00AA11C2">
      <w:pPr>
        <w:pStyle w:val="a5"/>
        <w:numPr>
          <w:ilvl w:val="0"/>
          <w:numId w:val="7"/>
        </w:numPr>
        <w:spacing w:line="360" w:lineRule="auto"/>
      </w:pPr>
      <w:r w:rsidRPr="00FF0BA7">
        <w:rPr>
          <w:rFonts w:cs="David" w:hint="cs"/>
          <w:sz w:val="28"/>
          <w:szCs w:val="28"/>
          <w:rtl/>
        </w:rPr>
        <w:t>ממתקים</w:t>
      </w:r>
      <w:r w:rsidRPr="00FF0BA7">
        <w:rPr>
          <w:rFonts w:cs="David"/>
          <w:sz w:val="28"/>
          <w:szCs w:val="28"/>
          <w:rtl/>
        </w:rPr>
        <w:br/>
      </w:r>
      <w:r w:rsidRPr="00FF0BA7">
        <w:rPr>
          <w:rFonts w:cs="David" w:hint="cs"/>
          <w:sz w:val="24"/>
          <w:szCs w:val="24"/>
          <w:rtl/>
        </w:rPr>
        <w:t xml:space="preserve">רצוי להפחית בצריכת ממתקים וסוכרים פשוטים, אך ככלל ניתן לצרוך עד חטיף / ממתק אחד ביום בעל ערך של כ 80-120 קלוריות.  </w:t>
      </w:r>
      <w:r>
        <w:rPr>
          <w:rtl/>
        </w:rPr>
        <w:br/>
      </w:r>
    </w:p>
    <w:p w:rsidR="00FF0BA7" w:rsidRDefault="00FF0BA7" w:rsidP="00230D93">
      <w:pPr>
        <w:pStyle w:val="a5"/>
        <w:numPr>
          <w:ilvl w:val="0"/>
          <w:numId w:val="7"/>
        </w:numPr>
        <w:tabs>
          <w:tab w:val="num" w:pos="720"/>
        </w:tabs>
        <w:spacing w:after="0" w:line="360" w:lineRule="auto"/>
        <w:rPr>
          <w:rFonts w:ascii="David" w:hAnsi="David" w:cs="David"/>
          <w:sz w:val="24"/>
          <w:szCs w:val="24"/>
        </w:rPr>
      </w:pPr>
      <w:r w:rsidRPr="00EA5841">
        <w:rPr>
          <w:rFonts w:ascii="David" w:hAnsi="David" w:cs="David"/>
          <w:sz w:val="28"/>
          <w:szCs w:val="28"/>
          <w:rtl/>
        </w:rPr>
        <w:t>תזונה לפני אימון גופני</w:t>
      </w:r>
      <w:r w:rsidRPr="00EA5841">
        <w:rPr>
          <w:rFonts w:ascii="David" w:hAnsi="David" w:cs="David" w:hint="cs"/>
          <w:sz w:val="28"/>
          <w:szCs w:val="28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להל"ן המלצה לאכילה ושתייה כ  60-45 דקות לפני אימון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רצוי לשתות 3-2 כוסות מים</w:t>
      </w:r>
      <w:r w:rsidR="00230D93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ולאכול כוס דגנים עם חלב או שתי פרוסות לחם עם גבינה או ריבה, ניתן להוסיף לזאת פרי כבננה. </w:t>
      </w:r>
    </w:p>
    <w:p w:rsidR="0099734E" w:rsidRPr="00FF0BA7" w:rsidRDefault="0099734E" w:rsidP="00870EEF">
      <w:pPr>
        <w:rPr>
          <w:rtl/>
        </w:rPr>
      </w:pPr>
    </w:p>
    <w:p w:rsidR="0099734E" w:rsidRDefault="0099734E" w:rsidP="00870EEF">
      <w:pPr>
        <w:rPr>
          <w:rtl/>
        </w:rPr>
      </w:pPr>
    </w:p>
    <w:p w:rsidR="0099734E" w:rsidRDefault="0099734E" w:rsidP="00870EEF">
      <w:pPr>
        <w:rPr>
          <w:rtl/>
        </w:rPr>
      </w:pPr>
    </w:p>
    <w:p w:rsidR="0099734E" w:rsidRDefault="0099734E" w:rsidP="00870EEF">
      <w:pPr>
        <w:rPr>
          <w:rtl/>
        </w:rPr>
      </w:pPr>
    </w:p>
    <w:p w:rsidR="0099734E" w:rsidRDefault="00230D93" w:rsidP="00870EEF">
      <w:pPr>
        <w:rPr>
          <w:rtl/>
        </w:rPr>
      </w:pPr>
      <w:r w:rsidRPr="00230D93">
        <w:rPr>
          <w:rFonts w:hint="cs"/>
          <w:noProof/>
          <w:rtl/>
        </w:rPr>
        <w:drawing>
          <wp:inline distT="0" distB="0" distL="0" distR="0">
            <wp:extent cx="5274310" cy="395273"/>
            <wp:effectExtent l="19050" t="0" r="2540" b="0"/>
            <wp:docPr id="17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4E" w:rsidRDefault="0099734E" w:rsidP="00870EEF">
      <w:pPr>
        <w:rPr>
          <w:rtl/>
        </w:rPr>
      </w:pPr>
    </w:p>
    <w:p w:rsidR="0099734E" w:rsidRDefault="0099734E" w:rsidP="00230D93">
      <w:pPr>
        <w:rPr>
          <w:rtl/>
        </w:rPr>
      </w:pPr>
    </w:p>
    <w:p w:rsidR="0099734E" w:rsidRDefault="00230D93" w:rsidP="00230D93">
      <w:r w:rsidRPr="00230D93">
        <w:rPr>
          <w:rFonts w:hint="cs"/>
          <w:noProof/>
          <w:rtl/>
        </w:rPr>
        <w:drawing>
          <wp:inline distT="0" distB="0" distL="0" distR="0">
            <wp:extent cx="2966940" cy="505158"/>
            <wp:effectExtent l="19050" t="0" r="4860" b="0"/>
            <wp:docPr id="12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56" cy="50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D93" w:rsidRDefault="00230D93" w:rsidP="00230D93">
      <w:pPr>
        <w:rPr>
          <w:rtl/>
          <w:lang w:val="ru-RU"/>
        </w:rPr>
      </w:pPr>
    </w:p>
    <w:p w:rsidR="00230D93" w:rsidRDefault="00230D93" w:rsidP="00230D93">
      <w:pPr>
        <w:rPr>
          <w:b/>
          <w:bCs/>
          <w:rtl/>
          <w:lang w:val="ru-RU"/>
        </w:rPr>
      </w:pPr>
      <w:r w:rsidRPr="00230D93">
        <w:rPr>
          <w:rFonts w:hint="cs"/>
          <w:b/>
          <w:bCs/>
          <w:rtl/>
          <w:lang w:val="ru-RU"/>
        </w:rPr>
        <w:t>תפריט לדוגמא</w:t>
      </w:r>
      <w:r>
        <w:rPr>
          <w:rFonts w:hint="cs"/>
          <w:b/>
          <w:bCs/>
          <w:rtl/>
          <w:lang w:val="ru-RU"/>
        </w:rPr>
        <w:t>:</w:t>
      </w:r>
    </w:p>
    <w:p w:rsidR="00230D93" w:rsidRPr="00230D93" w:rsidRDefault="00230D93" w:rsidP="00230D93">
      <w:pPr>
        <w:rPr>
          <w:b/>
          <w:bCs/>
          <w:rtl/>
          <w:lang w:val="ru-RU"/>
        </w:rPr>
      </w:pPr>
    </w:p>
    <w:p w:rsidR="00870EEF" w:rsidRDefault="00FF0BA7" w:rsidP="00D142BC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74310" cy="4786967"/>
            <wp:effectExtent l="1905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8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D93" w:rsidRDefault="00230D93" w:rsidP="00D142BC">
      <w:pPr>
        <w:rPr>
          <w:rtl/>
        </w:rPr>
      </w:pPr>
    </w:p>
    <w:p w:rsidR="00230D93" w:rsidRDefault="00230D93" w:rsidP="00D142BC">
      <w:pPr>
        <w:rPr>
          <w:rtl/>
        </w:rPr>
      </w:pPr>
    </w:p>
    <w:p w:rsidR="00230D93" w:rsidRDefault="00230D93" w:rsidP="00D142BC">
      <w:pPr>
        <w:rPr>
          <w:rtl/>
        </w:rPr>
      </w:pPr>
    </w:p>
    <w:p w:rsidR="00230D93" w:rsidRDefault="00230D93" w:rsidP="00D142BC">
      <w:pPr>
        <w:rPr>
          <w:rtl/>
        </w:rPr>
      </w:pPr>
    </w:p>
    <w:p w:rsidR="00230D93" w:rsidRDefault="00230D93" w:rsidP="00D142BC">
      <w:pPr>
        <w:rPr>
          <w:rtl/>
        </w:rPr>
      </w:pPr>
    </w:p>
    <w:p w:rsidR="00230D93" w:rsidRDefault="00230D93" w:rsidP="00D142BC">
      <w:pPr>
        <w:rPr>
          <w:rtl/>
        </w:rPr>
      </w:pPr>
      <w:r w:rsidRPr="00230D93">
        <w:rPr>
          <w:rFonts w:hint="cs"/>
          <w:noProof/>
          <w:rtl/>
        </w:rPr>
        <w:drawing>
          <wp:inline distT="0" distB="0" distL="0" distR="0">
            <wp:extent cx="5274310" cy="395273"/>
            <wp:effectExtent l="19050" t="0" r="2540" b="0"/>
            <wp:docPr id="18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D93" w:rsidSect="006D0B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5D" w:rsidRDefault="0012005D" w:rsidP="00FF0BA7">
      <w:pPr>
        <w:spacing w:after="0" w:line="240" w:lineRule="auto"/>
      </w:pPr>
      <w:r>
        <w:separator/>
      </w:r>
    </w:p>
  </w:endnote>
  <w:endnote w:type="continuationSeparator" w:id="0">
    <w:p w:rsidR="0012005D" w:rsidRDefault="0012005D" w:rsidP="00FF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5D" w:rsidRDefault="0012005D" w:rsidP="00FF0BA7">
      <w:pPr>
        <w:spacing w:after="0" w:line="240" w:lineRule="auto"/>
      </w:pPr>
      <w:r>
        <w:separator/>
      </w:r>
    </w:p>
  </w:footnote>
  <w:footnote w:type="continuationSeparator" w:id="0">
    <w:p w:rsidR="0012005D" w:rsidRDefault="0012005D" w:rsidP="00FF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6DD5"/>
    <w:multiLevelType w:val="hybridMultilevel"/>
    <w:tmpl w:val="D2F6AC9A"/>
    <w:lvl w:ilvl="0" w:tplc="C614A9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sz w:val="28"/>
        <w:szCs w:val="28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772AA"/>
    <w:multiLevelType w:val="hybridMultilevel"/>
    <w:tmpl w:val="39608A5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4A8466E2"/>
    <w:multiLevelType w:val="hybridMultilevel"/>
    <w:tmpl w:val="D2F6AC9A"/>
    <w:lvl w:ilvl="0" w:tplc="C614A9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sz w:val="28"/>
        <w:szCs w:val="28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8091A"/>
    <w:multiLevelType w:val="hybridMultilevel"/>
    <w:tmpl w:val="5C3E231C"/>
    <w:lvl w:ilvl="0" w:tplc="7C9AA408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42F4EE3"/>
    <w:multiLevelType w:val="hybridMultilevel"/>
    <w:tmpl w:val="E4449050"/>
    <w:lvl w:ilvl="0" w:tplc="09685FE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F01BC"/>
    <w:multiLevelType w:val="hybridMultilevel"/>
    <w:tmpl w:val="D2F6AC9A"/>
    <w:lvl w:ilvl="0" w:tplc="C614A9E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sz w:val="28"/>
        <w:szCs w:val="28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61EC8"/>
    <w:multiLevelType w:val="hybridMultilevel"/>
    <w:tmpl w:val="5C3E231C"/>
    <w:lvl w:ilvl="0" w:tplc="7C9AA408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9EC"/>
    <w:rsid w:val="00007E72"/>
    <w:rsid w:val="000271DA"/>
    <w:rsid w:val="0012005D"/>
    <w:rsid w:val="001846C1"/>
    <w:rsid w:val="00230D93"/>
    <w:rsid w:val="00281F0F"/>
    <w:rsid w:val="002A09EC"/>
    <w:rsid w:val="002D70A1"/>
    <w:rsid w:val="00395B97"/>
    <w:rsid w:val="0043178A"/>
    <w:rsid w:val="004D29F5"/>
    <w:rsid w:val="005A0C04"/>
    <w:rsid w:val="006346BE"/>
    <w:rsid w:val="00635512"/>
    <w:rsid w:val="006364A6"/>
    <w:rsid w:val="006D0B1E"/>
    <w:rsid w:val="006D5005"/>
    <w:rsid w:val="007928F7"/>
    <w:rsid w:val="007A6E85"/>
    <w:rsid w:val="007B0C01"/>
    <w:rsid w:val="007B1447"/>
    <w:rsid w:val="007C376F"/>
    <w:rsid w:val="00870EEF"/>
    <w:rsid w:val="00876D3C"/>
    <w:rsid w:val="00884ED3"/>
    <w:rsid w:val="008866BD"/>
    <w:rsid w:val="0099734E"/>
    <w:rsid w:val="00A131C2"/>
    <w:rsid w:val="00A528D6"/>
    <w:rsid w:val="00AA11C2"/>
    <w:rsid w:val="00AC5EEF"/>
    <w:rsid w:val="00B41370"/>
    <w:rsid w:val="00BA0215"/>
    <w:rsid w:val="00C52383"/>
    <w:rsid w:val="00C612D2"/>
    <w:rsid w:val="00C7044A"/>
    <w:rsid w:val="00C729DB"/>
    <w:rsid w:val="00CB5AC6"/>
    <w:rsid w:val="00CE126C"/>
    <w:rsid w:val="00D142BC"/>
    <w:rsid w:val="00E04153"/>
    <w:rsid w:val="00E613A1"/>
    <w:rsid w:val="00E8251C"/>
    <w:rsid w:val="00E93856"/>
    <w:rsid w:val="00EB5023"/>
    <w:rsid w:val="00ED5CDC"/>
    <w:rsid w:val="00FF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4A442A" w:themeColor="background2" w:themeShade="40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A09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5AC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B5A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F0B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FF0BA7"/>
  </w:style>
  <w:style w:type="paragraph" w:styleId="a8">
    <w:name w:val="footer"/>
    <w:basedOn w:val="a"/>
    <w:link w:val="a9"/>
    <w:uiPriority w:val="99"/>
    <w:semiHidden/>
    <w:unhideWhenUsed/>
    <w:rsid w:val="00FF0B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FF0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40EDB-1205-4D8D-9FDE-8596C5BB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Nomy</dc:creator>
  <cp:lastModifiedBy>Nomy</cp:lastModifiedBy>
  <cp:revision>4</cp:revision>
  <cp:lastPrinted>2013-12-31T13:03:00Z</cp:lastPrinted>
  <dcterms:created xsi:type="dcterms:W3CDTF">2014-04-22T13:35:00Z</dcterms:created>
  <dcterms:modified xsi:type="dcterms:W3CDTF">2014-04-22T13:43:00Z</dcterms:modified>
</cp:coreProperties>
</file>